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033D7"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Na temelju članka 18. Zakona o proračunu („Narodne novine“ broj 144/21) i članka 32. Statuta Općine Sveti Filip i Jakov („Službeni glasnik Općine Sveti Filip i Jakov“ broj 02/14 – pročišćeni tekst, 06/14, 1/18, 1/20, 2/21, 16/24, 14/25), Općinsko vijeće Općine Sveti Filip i Jakov na svojoj 5.. sjednici održanoj dana 22. prosinca 2025. godine donosi</w:t>
      </w:r>
    </w:p>
    <w:p w14:paraId="5F51AB4D" w14:textId="77777777" w:rsidR="00507B94" w:rsidRPr="00507B94" w:rsidRDefault="00507B94" w:rsidP="00507B94">
      <w:pPr>
        <w:spacing w:after="0" w:line="240" w:lineRule="auto"/>
        <w:jc w:val="center"/>
        <w:rPr>
          <w:rFonts w:ascii="Cambria" w:eastAsia="Aptos" w:hAnsi="Cambria" w:cs="Times New Roman"/>
        </w:rPr>
      </w:pPr>
      <w:r w:rsidRPr="00507B94">
        <w:rPr>
          <w:rFonts w:ascii="Cambria" w:eastAsia="Aptos" w:hAnsi="Cambria" w:cs="Times New Roman"/>
        </w:rPr>
        <w:t xml:space="preserve">ODLUKA </w:t>
      </w:r>
    </w:p>
    <w:p w14:paraId="5B258DE6" w14:textId="77777777" w:rsidR="00507B94" w:rsidRPr="00507B94" w:rsidRDefault="00507B94" w:rsidP="00507B94">
      <w:pPr>
        <w:spacing w:after="0" w:line="240" w:lineRule="auto"/>
        <w:jc w:val="center"/>
        <w:rPr>
          <w:rFonts w:ascii="Cambria" w:eastAsia="Aptos" w:hAnsi="Cambria" w:cs="Times New Roman"/>
        </w:rPr>
      </w:pPr>
      <w:r w:rsidRPr="00507B94">
        <w:rPr>
          <w:rFonts w:ascii="Cambria" w:eastAsia="Aptos" w:hAnsi="Cambria" w:cs="Times New Roman"/>
        </w:rPr>
        <w:t xml:space="preserve">o izvršavanju Proračuna Općine Sveti Filip i Jakov za 2026. godinu </w:t>
      </w:r>
    </w:p>
    <w:p w14:paraId="4AC1A418" w14:textId="3C4635A4" w:rsidR="00507B94" w:rsidRPr="00507B94" w:rsidRDefault="00810E8A" w:rsidP="00507B94">
      <w:pPr>
        <w:spacing w:after="0" w:line="240" w:lineRule="auto"/>
        <w:jc w:val="center"/>
        <w:rPr>
          <w:rFonts w:ascii="Cambria" w:eastAsia="Aptos" w:hAnsi="Cambria" w:cs="Times New Roman"/>
        </w:rPr>
      </w:pPr>
      <w:r>
        <w:rPr>
          <w:rFonts w:ascii="Cambria" w:eastAsia="Aptos" w:hAnsi="Cambria" w:cs="Times New Roman"/>
        </w:rPr>
        <w:t xml:space="preserve"> </w:t>
      </w:r>
    </w:p>
    <w:p w14:paraId="01C10A02"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b/>
          <w:bCs/>
        </w:rPr>
        <w:t>I. OPĆE ODREDBE</w:t>
      </w:r>
    </w:p>
    <w:p w14:paraId="65A9A7AC" w14:textId="77777777" w:rsidR="00507B94" w:rsidRPr="00507B94" w:rsidRDefault="00507B94" w:rsidP="00507B94">
      <w:pPr>
        <w:spacing w:after="0" w:line="360" w:lineRule="auto"/>
        <w:jc w:val="center"/>
        <w:rPr>
          <w:rFonts w:ascii="Cambria" w:eastAsia="Aptos" w:hAnsi="Cambria" w:cs="Times New Roman"/>
        </w:rPr>
      </w:pPr>
      <w:r w:rsidRPr="00507B94">
        <w:rPr>
          <w:rFonts w:ascii="Cambria" w:eastAsia="Aptos" w:hAnsi="Cambria" w:cs="Times New Roman"/>
        </w:rPr>
        <w:t>Članak 1.</w:t>
      </w:r>
    </w:p>
    <w:p w14:paraId="38924D20"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Ovom se Odlukom uređuje struktura prihoda i primitaka te rashoda i izdataka Proračuna Općine Sveti Filip i Jakov za 2026. godinu (u daljnjem tekstu: Proračun), njegovo izvršavanje, opseg zaduživanja i jamstava, upravljanje financijskom i nefinancijskom imovinom, korištenje namjenskih i vlastitih prihoda, prava i obveze korisnika proračunskih sredstava, pojedine ovlasti Općinskog načelnika (u daljnjem tekstu: Načelnik) u izvršavanju Proračuna te druga pitanja u svezi s izvršavanjem Proračuna.</w:t>
      </w:r>
    </w:p>
    <w:p w14:paraId="5FA594B9" w14:textId="77777777" w:rsidR="00507B94" w:rsidRPr="00507B94" w:rsidRDefault="00507B94" w:rsidP="00507B94">
      <w:pPr>
        <w:spacing w:after="0" w:line="360" w:lineRule="auto"/>
        <w:jc w:val="center"/>
        <w:rPr>
          <w:rFonts w:ascii="Cambria" w:eastAsia="Aptos" w:hAnsi="Cambria" w:cs="Times New Roman"/>
        </w:rPr>
      </w:pPr>
      <w:r w:rsidRPr="00507B94">
        <w:rPr>
          <w:rFonts w:ascii="Cambria" w:eastAsia="Aptos" w:hAnsi="Cambria" w:cs="Times New Roman"/>
        </w:rPr>
        <w:t>Članak 2.</w:t>
      </w:r>
    </w:p>
    <w:p w14:paraId="6E475DB6"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Korisnici Proračuna u smislu ove Odluke su:</w:t>
      </w:r>
    </w:p>
    <w:p w14:paraId="42E30D85"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1. Jedinstveni upravni odjel Općine Sveti Filip i Jakov,</w:t>
      </w:r>
    </w:p>
    <w:p w14:paraId="1B8A91A4"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2. Vlastiti pogon Općine,</w:t>
      </w:r>
    </w:p>
    <w:p w14:paraId="2E0210C1"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3. Proračunski korisnici:</w:t>
      </w:r>
    </w:p>
    <w:p w14:paraId="20497D3A"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 Dječji vrtić "</w:t>
      </w:r>
      <w:proofErr w:type="spellStart"/>
      <w:r w:rsidRPr="00507B94">
        <w:rPr>
          <w:rFonts w:ascii="Cambria" w:eastAsia="Aptos" w:hAnsi="Cambria" w:cs="Times New Roman"/>
        </w:rPr>
        <w:t>Cvit</w:t>
      </w:r>
      <w:proofErr w:type="spellEnd"/>
      <w:r w:rsidRPr="00507B94">
        <w:rPr>
          <w:rFonts w:ascii="Cambria" w:eastAsia="Aptos" w:hAnsi="Cambria" w:cs="Times New Roman"/>
        </w:rPr>
        <w:t>",</w:t>
      </w:r>
    </w:p>
    <w:p w14:paraId="3E55EDFE"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 Centar za pružanje usluga u zajednici Općine Sveti Filip i Jakov.</w:t>
      </w:r>
    </w:p>
    <w:p w14:paraId="0197ED8A" w14:textId="77777777" w:rsidR="00507B94" w:rsidRPr="00507B94" w:rsidRDefault="00507B94" w:rsidP="00507B94">
      <w:pPr>
        <w:spacing w:after="0" w:line="360" w:lineRule="auto"/>
        <w:jc w:val="center"/>
        <w:rPr>
          <w:rFonts w:ascii="Cambria" w:eastAsia="Aptos" w:hAnsi="Cambria" w:cs="Times New Roman"/>
        </w:rPr>
      </w:pPr>
    </w:p>
    <w:p w14:paraId="3C806674" w14:textId="77777777" w:rsidR="00507B94" w:rsidRPr="00507B94" w:rsidRDefault="00507B94" w:rsidP="00507B94">
      <w:pPr>
        <w:spacing w:after="0" w:line="360" w:lineRule="auto"/>
        <w:jc w:val="center"/>
        <w:rPr>
          <w:rFonts w:ascii="Cambria" w:eastAsia="Aptos" w:hAnsi="Cambria" w:cs="Times New Roman"/>
        </w:rPr>
      </w:pPr>
      <w:r w:rsidRPr="00507B94">
        <w:rPr>
          <w:rFonts w:ascii="Cambria" w:eastAsia="Aptos" w:hAnsi="Cambria" w:cs="Times New Roman"/>
        </w:rPr>
        <w:t>Članak 3.</w:t>
      </w:r>
    </w:p>
    <w:p w14:paraId="24E74723"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Proračun se sastoji od Općeg i Posebnog dijela te obrazloženja. Opći dio Proračuna čini Račun prihoda i rashoda i Račun financiranja. U Računu prihoda i rashoda iskazani su prihodi poslovanja i prihodi od prodaje nefinancijske imovine te rashodi poslovanja i rashodi za nabavu nefinancijske imovine. Posebni dio Proračuna sastoji se od plana rashoda i izdataka Općine i njezinih proračunskih korisnika raspoređenih u programe koji se sastoje od aktivnosti i projekata.</w:t>
      </w:r>
    </w:p>
    <w:p w14:paraId="57A0C43C" w14:textId="77777777" w:rsidR="00507B94" w:rsidRPr="00507B94" w:rsidRDefault="00507B94" w:rsidP="00507B94">
      <w:pPr>
        <w:spacing w:after="0" w:line="360" w:lineRule="auto"/>
        <w:jc w:val="center"/>
        <w:rPr>
          <w:rFonts w:ascii="Cambria" w:eastAsia="Aptos" w:hAnsi="Cambria" w:cs="Times New Roman"/>
        </w:rPr>
      </w:pPr>
    </w:p>
    <w:p w14:paraId="4D950651" w14:textId="77777777" w:rsidR="00507B94" w:rsidRPr="00507B94" w:rsidRDefault="00507B94" w:rsidP="00507B94">
      <w:pPr>
        <w:spacing w:after="0" w:line="360" w:lineRule="auto"/>
        <w:jc w:val="center"/>
        <w:rPr>
          <w:rFonts w:ascii="Cambria" w:eastAsia="Aptos" w:hAnsi="Cambria" w:cs="Times New Roman"/>
        </w:rPr>
      </w:pPr>
      <w:r w:rsidRPr="00507B94">
        <w:rPr>
          <w:rFonts w:ascii="Cambria" w:eastAsia="Aptos" w:hAnsi="Cambria" w:cs="Times New Roman"/>
        </w:rPr>
        <w:t>Članak 4.</w:t>
      </w:r>
    </w:p>
    <w:p w14:paraId="69202711"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Proračun Općine Sveti Filip i Jakov za 2026. godinu utvrđuje se u ukupnom iznosu planiranom u Općem dijelu Proračuna (Račun prihoda i rashoda i Račun financiranja).</w:t>
      </w:r>
    </w:p>
    <w:p w14:paraId="1187A89F" w14:textId="77777777" w:rsidR="00507B94" w:rsidRPr="00507B94" w:rsidRDefault="00507B94" w:rsidP="00507B94">
      <w:pPr>
        <w:spacing w:after="0" w:line="360" w:lineRule="auto"/>
        <w:jc w:val="both"/>
        <w:rPr>
          <w:rFonts w:ascii="Cambria" w:eastAsia="Aptos" w:hAnsi="Cambria" w:cs="Times New Roman"/>
          <w:b/>
          <w:bCs/>
        </w:rPr>
      </w:pPr>
    </w:p>
    <w:p w14:paraId="1C5C8F64" w14:textId="77777777" w:rsidR="00507B94" w:rsidRPr="00507B94" w:rsidRDefault="00507B94" w:rsidP="00507B94">
      <w:pPr>
        <w:spacing w:after="0" w:line="360" w:lineRule="auto"/>
        <w:jc w:val="both"/>
        <w:rPr>
          <w:rFonts w:ascii="Cambria" w:eastAsia="Aptos" w:hAnsi="Cambria" w:cs="Times New Roman"/>
          <w:b/>
          <w:bCs/>
        </w:rPr>
      </w:pPr>
      <w:r w:rsidRPr="00507B94">
        <w:rPr>
          <w:rFonts w:ascii="Cambria" w:eastAsia="Aptos" w:hAnsi="Cambria" w:cs="Times New Roman"/>
          <w:b/>
          <w:bCs/>
        </w:rPr>
        <w:t>II. IZVRŠAVANJE PRORAČUNA</w:t>
      </w:r>
    </w:p>
    <w:p w14:paraId="25F5A893" w14:textId="77777777" w:rsidR="00507B94" w:rsidRPr="00507B94" w:rsidRDefault="00507B94" w:rsidP="00507B94">
      <w:pPr>
        <w:spacing w:after="0" w:line="360" w:lineRule="auto"/>
        <w:jc w:val="both"/>
        <w:rPr>
          <w:rFonts w:ascii="Cambria" w:eastAsia="Aptos" w:hAnsi="Cambria" w:cs="Times New Roman"/>
          <w:b/>
          <w:bCs/>
        </w:rPr>
      </w:pPr>
    </w:p>
    <w:p w14:paraId="5C50E08C" w14:textId="77777777" w:rsidR="00507B94" w:rsidRPr="00507B94" w:rsidRDefault="00507B94" w:rsidP="00507B94">
      <w:pPr>
        <w:spacing w:after="0" w:line="360" w:lineRule="auto"/>
        <w:jc w:val="center"/>
        <w:rPr>
          <w:rFonts w:ascii="Cambria" w:eastAsia="Aptos" w:hAnsi="Cambria" w:cs="Times New Roman"/>
        </w:rPr>
      </w:pPr>
      <w:r w:rsidRPr="00507B94">
        <w:rPr>
          <w:rFonts w:ascii="Cambria" w:eastAsia="Aptos" w:hAnsi="Cambria" w:cs="Times New Roman"/>
        </w:rPr>
        <w:t>Članak 5.</w:t>
      </w:r>
    </w:p>
    <w:p w14:paraId="25C35033"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lastRenderedPageBreak/>
        <w:t>Proračunska sredstva koristit će se samo za namjene utvrđene u Posebnom dijelu Proračuna, prema načelima zakonitosti, svrhovitosti, učinkovitosti i ekonomičnosti. Odgovorna osoba za planiranje i izvršavanje Proračuna je Načelnik. Čelnici proračunskih korisnika odgovorni su za planiranje i izvršavanje svog dijela financijskog plana.</w:t>
      </w:r>
    </w:p>
    <w:p w14:paraId="50E8793C" w14:textId="77777777" w:rsidR="00507B94" w:rsidRPr="00507B94" w:rsidRDefault="00507B94" w:rsidP="00507B94">
      <w:pPr>
        <w:spacing w:after="0" w:line="360" w:lineRule="auto"/>
        <w:jc w:val="center"/>
        <w:rPr>
          <w:rFonts w:ascii="Cambria" w:eastAsia="Aptos" w:hAnsi="Cambria" w:cs="Times New Roman"/>
        </w:rPr>
      </w:pPr>
    </w:p>
    <w:p w14:paraId="017FE24B" w14:textId="77777777" w:rsidR="00507B94" w:rsidRPr="00507B94" w:rsidRDefault="00507B94" w:rsidP="00507B94">
      <w:pPr>
        <w:spacing w:after="0" w:line="360" w:lineRule="auto"/>
        <w:jc w:val="center"/>
        <w:rPr>
          <w:rFonts w:ascii="Cambria" w:eastAsia="Aptos" w:hAnsi="Cambria" w:cs="Times New Roman"/>
        </w:rPr>
      </w:pPr>
      <w:r w:rsidRPr="00507B94">
        <w:rPr>
          <w:rFonts w:ascii="Cambria" w:eastAsia="Aptos" w:hAnsi="Cambria" w:cs="Times New Roman"/>
        </w:rPr>
        <w:t>Članak 6.</w:t>
      </w:r>
    </w:p>
    <w:p w14:paraId="22191583"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Proračun se izvršava preko jedinstvenog računa Proračuna. Svi prihodi i primici proračunskih korisnika uplaćuju se na žiro-račun Općine, a svi rashodi i izdaci proračunskih korisnika isplaćuju se sa žiro-računa Općine, osim ako posebnim propisom nije drugačije određeno.</w:t>
      </w:r>
    </w:p>
    <w:p w14:paraId="375B1A42" w14:textId="77777777" w:rsidR="00507B94" w:rsidRPr="00507B94" w:rsidRDefault="00507B94" w:rsidP="00507B94">
      <w:pPr>
        <w:spacing w:after="0" w:line="360" w:lineRule="auto"/>
        <w:jc w:val="both"/>
        <w:rPr>
          <w:rFonts w:ascii="Cambria" w:eastAsia="Aptos" w:hAnsi="Cambria" w:cs="Times New Roman"/>
          <w:b/>
          <w:bCs/>
        </w:rPr>
      </w:pPr>
    </w:p>
    <w:p w14:paraId="3D0B28E3" w14:textId="77777777" w:rsidR="00507B94" w:rsidRPr="00507B94" w:rsidRDefault="00507B94" w:rsidP="00507B94">
      <w:pPr>
        <w:spacing w:after="0" w:line="360" w:lineRule="auto"/>
        <w:jc w:val="both"/>
        <w:rPr>
          <w:rFonts w:ascii="Cambria" w:eastAsia="Aptos" w:hAnsi="Cambria" w:cs="Times New Roman"/>
          <w:b/>
          <w:bCs/>
        </w:rPr>
      </w:pPr>
      <w:r w:rsidRPr="00507B94">
        <w:rPr>
          <w:rFonts w:ascii="Cambria" w:eastAsia="Aptos" w:hAnsi="Cambria" w:cs="Times New Roman"/>
          <w:b/>
          <w:bCs/>
        </w:rPr>
        <w:t>III. PRIHODI PRORAČUNA I KORIŠTENJE NAMJENSKIH SREDSTAVA</w:t>
      </w:r>
    </w:p>
    <w:p w14:paraId="702C5298" w14:textId="77777777" w:rsidR="00507B94" w:rsidRPr="00507B94" w:rsidRDefault="00507B94" w:rsidP="00507B94">
      <w:pPr>
        <w:spacing w:after="0" w:line="360" w:lineRule="auto"/>
        <w:jc w:val="center"/>
        <w:rPr>
          <w:rFonts w:ascii="Cambria" w:eastAsia="Aptos" w:hAnsi="Cambria" w:cs="Times New Roman"/>
        </w:rPr>
      </w:pPr>
    </w:p>
    <w:p w14:paraId="6F699205" w14:textId="77777777" w:rsidR="00507B94" w:rsidRPr="00507B94" w:rsidRDefault="00507B94" w:rsidP="00507B94">
      <w:pPr>
        <w:spacing w:after="0" w:line="360" w:lineRule="auto"/>
        <w:jc w:val="center"/>
        <w:rPr>
          <w:rFonts w:ascii="Cambria" w:eastAsia="Aptos" w:hAnsi="Cambria" w:cs="Times New Roman"/>
        </w:rPr>
      </w:pPr>
      <w:r w:rsidRPr="00507B94">
        <w:rPr>
          <w:rFonts w:ascii="Cambria" w:eastAsia="Aptos" w:hAnsi="Cambria" w:cs="Times New Roman"/>
        </w:rPr>
        <w:t>Članak 7.</w:t>
      </w:r>
    </w:p>
    <w:p w14:paraId="4013ACF2"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Stvarna naplata prihoda nije ograničena visinom prihoda planiranih u Proračunu. Općina i proračunski korisnici odgovorni su za potpunu i pravodobnu naplatu prihoda iz svoje nadležnosti.</w:t>
      </w:r>
    </w:p>
    <w:p w14:paraId="4DDEA5BE" w14:textId="77777777" w:rsidR="00507B94" w:rsidRPr="00507B94" w:rsidRDefault="00507B94" w:rsidP="00507B94">
      <w:pPr>
        <w:spacing w:after="0" w:line="360" w:lineRule="auto"/>
        <w:jc w:val="both"/>
        <w:rPr>
          <w:rFonts w:ascii="Cambria" w:eastAsia="Aptos" w:hAnsi="Cambria" w:cs="Times New Roman"/>
        </w:rPr>
      </w:pPr>
    </w:p>
    <w:p w14:paraId="71893E17" w14:textId="77777777" w:rsidR="00507B94" w:rsidRPr="00507B94" w:rsidRDefault="00507B94" w:rsidP="00507B94">
      <w:pPr>
        <w:spacing w:after="0" w:line="360" w:lineRule="auto"/>
        <w:jc w:val="center"/>
        <w:rPr>
          <w:rFonts w:ascii="Cambria" w:eastAsia="Aptos" w:hAnsi="Cambria" w:cs="Times New Roman"/>
        </w:rPr>
      </w:pPr>
      <w:r w:rsidRPr="00507B94">
        <w:rPr>
          <w:rFonts w:ascii="Cambria" w:eastAsia="Aptos" w:hAnsi="Cambria" w:cs="Times New Roman"/>
        </w:rPr>
        <w:t>Članak 8.</w:t>
      </w:r>
    </w:p>
    <w:p w14:paraId="391FF0EA"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Namjenski prihodi i primici Proračuna su: pomoći, donacije, prihodi za posebne namjene, prihodi od prodaje ili zamjene nefinancijske imovine, naknade s naslova osiguranja te namjenski primici od zaduživanja. Rashodi i izdaci koji se financiraju iz namjenskih prihoda mogu se izvršavati do iznosa naplaćenih prihoda za te namjene. Ako su namjenski prihodi uplaćeni u nižem iznosu nego što je planirano, korisnik može preuzeti i plaćati obveze samo do visine stvarno uplaćenih sredstava.</w:t>
      </w:r>
    </w:p>
    <w:p w14:paraId="196A24E4" w14:textId="77777777" w:rsidR="00507B94" w:rsidRPr="00507B94" w:rsidRDefault="00507B94" w:rsidP="00507B94">
      <w:pPr>
        <w:spacing w:after="0" w:line="360" w:lineRule="auto"/>
        <w:jc w:val="both"/>
        <w:rPr>
          <w:rFonts w:ascii="Cambria" w:eastAsia="Aptos" w:hAnsi="Cambria" w:cs="Times New Roman"/>
        </w:rPr>
      </w:pPr>
    </w:p>
    <w:p w14:paraId="1815F72D" w14:textId="77777777" w:rsidR="00507B94" w:rsidRPr="00507B94" w:rsidRDefault="00507B94" w:rsidP="00507B94">
      <w:pPr>
        <w:spacing w:after="0" w:line="360" w:lineRule="auto"/>
        <w:jc w:val="center"/>
        <w:rPr>
          <w:rFonts w:ascii="Cambria" w:eastAsia="Aptos" w:hAnsi="Cambria" w:cs="Times New Roman"/>
        </w:rPr>
      </w:pPr>
      <w:r w:rsidRPr="00507B94">
        <w:rPr>
          <w:rFonts w:ascii="Cambria" w:eastAsia="Aptos" w:hAnsi="Cambria" w:cs="Times New Roman"/>
        </w:rPr>
        <w:t>Članak 9.</w:t>
      </w:r>
    </w:p>
    <w:p w14:paraId="1DB8439B"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Iznimno od članka 8. ove Odluke, rashodi i izdaci financirani iz namjenskih prihoda (osobito EU fondova i pomoći) mogu se izvršavati iznad planiranih iznosa, a do visine uplaćenih sredstava, odnosno do visine ovjerenih zahtjeva za nadoknadu sredstava, uz prethodnu suglasnost Načelnika. Namjenski prihodi koji nisu iskorišteni u prethodnoj godini prenose se u Proračun za 2026. godinu.</w:t>
      </w:r>
    </w:p>
    <w:p w14:paraId="41064502" w14:textId="77777777" w:rsidR="00507B94" w:rsidRPr="00507B94" w:rsidRDefault="00507B94" w:rsidP="00507B94">
      <w:pPr>
        <w:spacing w:after="0" w:line="360" w:lineRule="auto"/>
        <w:jc w:val="center"/>
        <w:rPr>
          <w:rFonts w:ascii="Cambria" w:eastAsia="Aptos" w:hAnsi="Cambria" w:cs="Times New Roman"/>
        </w:rPr>
      </w:pPr>
    </w:p>
    <w:p w14:paraId="2892444E" w14:textId="77777777" w:rsidR="00507B94" w:rsidRPr="00507B94" w:rsidRDefault="00507B94" w:rsidP="00507B94">
      <w:pPr>
        <w:spacing w:after="0" w:line="360" w:lineRule="auto"/>
        <w:jc w:val="center"/>
        <w:rPr>
          <w:rFonts w:ascii="Cambria" w:eastAsia="Aptos" w:hAnsi="Cambria" w:cs="Times New Roman"/>
        </w:rPr>
      </w:pPr>
      <w:r w:rsidRPr="00507B94">
        <w:rPr>
          <w:rFonts w:ascii="Cambria" w:eastAsia="Aptos" w:hAnsi="Cambria" w:cs="Times New Roman"/>
        </w:rPr>
        <w:t>Članak 10.</w:t>
      </w:r>
    </w:p>
    <w:p w14:paraId="0E53315E"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Vlastiti prihodi proračunskih korisnika (prihodi od obavljanja poslova na tržištu) mogu se koristiti isključivo za namjene utvrđene financijskim planovima. Naplaćeni, a neplanirani vlastiti prihodi mogu se koristiti prema naknadno utvrđenim aktivnostima uz suglasnost Načelnika.</w:t>
      </w:r>
    </w:p>
    <w:p w14:paraId="28998C23" w14:textId="77777777" w:rsidR="00507B94" w:rsidRPr="00507B94" w:rsidRDefault="00507B94" w:rsidP="00507B94">
      <w:pPr>
        <w:spacing w:after="0" w:line="360" w:lineRule="auto"/>
        <w:jc w:val="both"/>
        <w:rPr>
          <w:rFonts w:ascii="Cambria" w:eastAsia="Aptos" w:hAnsi="Cambria" w:cs="Times New Roman"/>
          <w:b/>
          <w:bCs/>
        </w:rPr>
      </w:pPr>
    </w:p>
    <w:p w14:paraId="25A1DBE8" w14:textId="77777777" w:rsidR="00507B94" w:rsidRPr="00507B94" w:rsidRDefault="00507B94" w:rsidP="00507B94">
      <w:pPr>
        <w:spacing w:after="0" w:line="360" w:lineRule="auto"/>
        <w:jc w:val="both"/>
        <w:rPr>
          <w:rFonts w:ascii="Cambria" w:eastAsia="Aptos" w:hAnsi="Cambria" w:cs="Times New Roman"/>
          <w:b/>
          <w:bCs/>
        </w:rPr>
      </w:pPr>
      <w:r w:rsidRPr="00507B94">
        <w:rPr>
          <w:rFonts w:ascii="Cambria" w:eastAsia="Aptos" w:hAnsi="Cambria" w:cs="Times New Roman"/>
          <w:b/>
          <w:bCs/>
        </w:rPr>
        <w:lastRenderedPageBreak/>
        <w:t>IV. ISPLATE I PREUZIMANJE OBVEZA</w:t>
      </w:r>
    </w:p>
    <w:p w14:paraId="4D7E07CE" w14:textId="77777777" w:rsidR="00507B94" w:rsidRPr="00507B94" w:rsidRDefault="00507B94" w:rsidP="00507B94">
      <w:pPr>
        <w:spacing w:after="0" w:line="360" w:lineRule="auto"/>
        <w:jc w:val="both"/>
        <w:rPr>
          <w:rFonts w:ascii="Cambria" w:eastAsia="Aptos" w:hAnsi="Cambria" w:cs="Times New Roman"/>
          <w:b/>
          <w:bCs/>
        </w:rPr>
      </w:pPr>
    </w:p>
    <w:p w14:paraId="76FE5056" w14:textId="77777777" w:rsidR="00507B94" w:rsidRPr="00507B94" w:rsidRDefault="00507B94" w:rsidP="00507B94">
      <w:pPr>
        <w:spacing w:after="0" w:line="360" w:lineRule="auto"/>
        <w:jc w:val="center"/>
        <w:rPr>
          <w:rFonts w:ascii="Cambria" w:eastAsia="Aptos" w:hAnsi="Cambria" w:cs="Times New Roman"/>
        </w:rPr>
      </w:pPr>
      <w:r w:rsidRPr="00507B94">
        <w:rPr>
          <w:rFonts w:ascii="Cambria" w:eastAsia="Aptos" w:hAnsi="Cambria" w:cs="Times New Roman"/>
        </w:rPr>
        <w:t>Članak 11.</w:t>
      </w:r>
    </w:p>
    <w:p w14:paraId="155CDFAB"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Svaki rashod i izdatak iz Proračuna mora se temeljiti na vjerodostojnoj knjigovodstvenoj ispravi (račun, ugovor, rješenje) kojom se dokazuje obveza plaćanja. Nalog za isplatu iz Proračuna potpisuje Načelnik ili osoba koju on ovlasti.</w:t>
      </w:r>
    </w:p>
    <w:p w14:paraId="26FD504E" w14:textId="77777777" w:rsidR="00507B94" w:rsidRPr="00507B94" w:rsidRDefault="00507B94" w:rsidP="00507B94">
      <w:pPr>
        <w:spacing w:after="0" w:line="360" w:lineRule="auto"/>
        <w:jc w:val="both"/>
        <w:rPr>
          <w:rFonts w:ascii="Cambria" w:eastAsia="Aptos" w:hAnsi="Cambria" w:cs="Times New Roman"/>
        </w:rPr>
      </w:pPr>
    </w:p>
    <w:p w14:paraId="5EFE881E" w14:textId="77777777" w:rsidR="00507B94" w:rsidRPr="00507B94" w:rsidRDefault="00507B94" w:rsidP="00507B94">
      <w:pPr>
        <w:spacing w:after="0" w:line="360" w:lineRule="auto"/>
        <w:jc w:val="center"/>
        <w:rPr>
          <w:rFonts w:ascii="Cambria" w:eastAsia="Aptos" w:hAnsi="Cambria" w:cs="Times New Roman"/>
        </w:rPr>
      </w:pPr>
      <w:r w:rsidRPr="00507B94">
        <w:rPr>
          <w:rFonts w:ascii="Cambria" w:eastAsia="Aptos" w:hAnsi="Cambria" w:cs="Times New Roman"/>
        </w:rPr>
        <w:t>Članak 12.</w:t>
      </w:r>
    </w:p>
    <w:p w14:paraId="65B8C12F"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 xml:space="preserve">Plaćanje predujmom moguće je samo iznimno, kada je to uobičajeno u poslovnom prometu ili propisano ugovorom. Proračunski korisnik može plaćati predujmom do iznosa od 2.000,00 eura bez prethodne suglasnosti. Za iznose veće od 2.000,00 eura potrebna je prethodna pisana suglasnost Načelnika. </w:t>
      </w:r>
    </w:p>
    <w:p w14:paraId="7BD8238D" w14:textId="77777777" w:rsidR="00507B94" w:rsidRPr="00507B94" w:rsidRDefault="00507B94" w:rsidP="00507B94">
      <w:pPr>
        <w:spacing w:after="0" w:line="360" w:lineRule="auto"/>
        <w:jc w:val="center"/>
        <w:rPr>
          <w:rFonts w:ascii="Cambria" w:eastAsia="Aptos" w:hAnsi="Cambria" w:cs="Times New Roman"/>
        </w:rPr>
      </w:pPr>
      <w:r w:rsidRPr="00507B94">
        <w:rPr>
          <w:rFonts w:ascii="Cambria" w:eastAsia="Aptos" w:hAnsi="Cambria" w:cs="Times New Roman"/>
        </w:rPr>
        <w:t>Članak 13.</w:t>
      </w:r>
    </w:p>
    <w:p w14:paraId="2DD8E59D"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Načelnik može preuzeti obveze po ugovorima koji zahtijevaju plaćanje u sljedećim godinama (2027. i nadalje) bez posebne suglasnosti Općinskog vijeća ako je:</w:t>
      </w:r>
    </w:p>
    <w:p w14:paraId="74ED8895"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 xml:space="preserve">1. plaćanje po ugovorima predviđeno u projekcijama Proračuna za 2027. i 2028. godinu (npr. Centar za starije osobe, Vrtić </w:t>
      </w:r>
      <w:proofErr w:type="spellStart"/>
      <w:r w:rsidRPr="00507B94">
        <w:rPr>
          <w:rFonts w:ascii="Cambria" w:eastAsia="Aptos" w:hAnsi="Cambria" w:cs="Times New Roman"/>
        </w:rPr>
        <w:t>Turanj</w:t>
      </w:r>
      <w:proofErr w:type="spellEnd"/>
      <w:r w:rsidRPr="00507B94">
        <w:rPr>
          <w:rFonts w:ascii="Cambria" w:eastAsia="Aptos" w:hAnsi="Cambria" w:cs="Times New Roman"/>
        </w:rPr>
        <w:t>),</w:t>
      </w:r>
    </w:p>
    <w:p w14:paraId="579DA015"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2. riječ o ugovorima za redovno poslovanje (struja, voda, telekomunikacije, održavanje licenci) čija ukupna vrijednost je unutar planiranih projekcija.</w:t>
      </w:r>
    </w:p>
    <w:p w14:paraId="55132B75" w14:textId="77777777" w:rsidR="00507B94" w:rsidRPr="00507B94" w:rsidRDefault="00507B94" w:rsidP="00507B94">
      <w:pPr>
        <w:spacing w:after="0" w:line="360" w:lineRule="auto"/>
        <w:jc w:val="both"/>
        <w:rPr>
          <w:rFonts w:ascii="Cambria" w:eastAsia="Aptos" w:hAnsi="Cambria" w:cs="Times New Roman"/>
          <w:b/>
          <w:bCs/>
        </w:rPr>
      </w:pPr>
    </w:p>
    <w:p w14:paraId="5B76FB92" w14:textId="77777777" w:rsidR="00507B94" w:rsidRPr="00507B94" w:rsidRDefault="00507B94" w:rsidP="00507B94">
      <w:pPr>
        <w:spacing w:after="0" w:line="360" w:lineRule="auto"/>
        <w:jc w:val="both"/>
        <w:rPr>
          <w:rFonts w:ascii="Cambria" w:eastAsia="Aptos" w:hAnsi="Cambria" w:cs="Times New Roman"/>
          <w:b/>
          <w:bCs/>
        </w:rPr>
      </w:pPr>
      <w:r w:rsidRPr="00507B94">
        <w:rPr>
          <w:rFonts w:ascii="Cambria" w:eastAsia="Aptos" w:hAnsi="Cambria" w:cs="Times New Roman"/>
          <w:b/>
          <w:bCs/>
        </w:rPr>
        <w:t>V. PRERASPODJELA SREDSTAVA</w:t>
      </w:r>
    </w:p>
    <w:p w14:paraId="7E9E0898" w14:textId="77777777" w:rsidR="00507B94" w:rsidRPr="00507B94" w:rsidRDefault="00507B94" w:rsidP="00507B94">
      <w:pPr>
        <w:spacing w:after="0" w:line="360" w:lineRule="auto"/>
        <w:jc w:val="center"/>
        <w:rPr>
          <w:rFonts w:ascii="Cambria" w:eastAsia="Aptos" w:hAnsi="Cambria" w:cs="Times New Roman"/>
        </w:rPr>
      </w:pPr>
      <w:r w:rsidRPr="00507B94">
        <w:rPr>
          <w:rFonts w:ascii="Cambria" w:eastAsia="Aptos" w:hAnsi="Cambria" w:cs="Times New Roman"/>
        </w:rPr>
        <w:t>Članak 14.</w:t>
      </w:r>
    </w:p>
    <w:p w14:paraId="0FBCB964" w14:textId="77777777" w:rsidR="00507B94" w:rsidRPr="00507B94" w:rsidRDefault="00507B94" w:rsidP="00507B94">
      <w:pPr>
        <w:spacing w:after="0" w:line="360" w:lineRule="auto"/>
        <w:jc w:val="both"/>
        <w:rPr>
          <w:rFonts w:ascii="Cambria" w:eastAsia="Aptos" w:hAnsi="Cambria" w:cs="Times New Roman"/>
        </w:rPr>
      </w:pPr>
    </w:p>
    <w:p w14:paraId="5620E2B4"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U okviru proračunskih stavki dopuštena je preraspodjela sredstava unutar izvora financiranja opći prihodi i primici i unutar izvora financiranja namjenski primici. O preraspodjeli sredstava odlučuje Načelnik. Umanjenje pojedine stavke rashoda i izdataka smije biti najviše do 5% na razini skupine ekonomske klasifikacije.</w:t>
      </w:r>
    </w:p>
    <w:p w14:paraId="46A60821" w14:textId="77777777" w:rsidR="00507B94" w:rsidRPr="00507B94" w:rsidRDefault="00507B94" w:rsidP="00507B94">
      <w:pPr>
        <w:spacing w:after="0" w:line="360" w:lineRule="auto"/>
        <w:jc w:val="both"/>
        <w:rPr>
          <w:rFonts w:ascii="Cambria" w:eastAsia="Aptos" w:hAnsi="Cambria" w:cs="Times New Roman"/>
        </w:rPr>
      </w:pPr>
    </w:p>
    <w:p w14:paraId="6A92B3AD" w14:textId="77777777" w:rsidR="00507B94" w:rsidRPr="00507B94" w:rsidRDefault="00507B94" w:rsidP="00507B94">
      <w:pPr>
        <w:spacing w:after="0" w:line="360" w:lineRule="auto"/>
        <w:jc w:val="both"/>
        <w:rPr>
          <w:rFonts w:ascii="Cambria" w:eastAsia="Aptos" w:hAnsi="Cambria" w:cs="Times New Roman"/>
        </w:rPr>
      </w:pPr>
    </w:p>
    <w:p w14:paraId="1903DDF3" w14:textId="77777777" w:rsidR="00507B94" w:rsidRPr="00507B94" w:rsidRDefault="00507B94" w:rsidP="00507B94">
      <w:pPr>
        <w:spacing w:after="0" w:line="360" w:lineRule="auto"/>
        <w:jc w:val="center"/>
        <w:rPr>
          <w:rFonts w:ascii="Cambria" w:eastAsia="Aptos" w:hAnsi="Cambria" w:cs="Times New Roman"/>
        </w:rPr>
      </w:pPr>
      <w:r w:rsidRPr="00507B94">
        <w:rPr>
          <w:rFonts w:ascii="Cambria" w:eastAsia="Aptos" w:hAnsi="Cambria" w:cs="Times New Roman"/>
        </w:rPr>
        <w:t>Članak 15.</w:t>
      </w:r>
    </w:p>
    <w:p w14:paraId="44666E8C"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Iznimno od ograničenja iz članka 14. ove Odluke, preraspodjela sredstava može se izvršiti najviše do 15% ako se time osigurava povećanje sredstava učešća Općine za financiranje projekata koji se sufinanciraju iz sredstava Europske unije (kapitalni projekti). Sredstva za financiranje projekata koja se refundiraju iz pomoći EU mogu se preraspodjeljivati bez ograničenja unutar istog razdjela. O izvršenoj preraspodjeli Načelnik izvještava Općinsko vijeće u polugodišnjem i godišnjem izvještaju.</w:t>
      </w:r>
    </w:p>
    <w:p w14:paraId="28ABBE56" w14:textId="77777777" w:rsidR="00507B94" w:rsidRPr="00507B94" w:rsidRDefault="00507B94" w:rsidP="00507B94">
      <w:pPr>
        <w:spacing w:after="0" w:line="360" w:lineRule="auto"/>
        <w:jc w:val="both"/>
        <w:rPr>
          <w:rFonts w:ascii="Cambria" w:eastAsia="Aptos" w:hAnsi="Cambria" w:cs="Times New Roman"/>
          <w:b/>
          <w:bCs/>
        </w:rPr>
      </w:pPr>
    </w:p>
    <w:p w14:paraId="5FB1BC09" w14:textId="77777777" w:rsidR="00507B94" w:rsidRPr="00507B94" w:rsidRDefault="00507B94" w:rsidP="00507B94">
      <w:pPr>
        <w:spacing w:after="0" w:line="360" w:lineRule="auto"/>
        <w:jc w:val="both"/>
        <w:rPr>
          <w:rFonts w:ascii="Cambria" w:eastAsia="Aptos" w:hAnsi="Cambria" w:cs="Times New Roman"/>
          <w:b/>
          <w:bCs/>
        </w:rPr>
      </w:pPr>
      <w:r w:rsidRPr="00507B94">
        <w:rPr>
          <w:rFonts w:ascii="Cambria" w:eastAsia="Aptos" w:hAnsi="Cambria" w:cs="Times New Roman"/>
          <w:b/>
          <w:bCs/>
        </w:rPr>
        <w:t>VI. PRORAČUNSKA ZALIHA</w:t>
      </w:r>
    </w:p>
    <w:p w14:paraId="40879A75" w14:textId="77777777" w:rsidR="00507B94" w:rsidRPr="00507B94" w:rsidRDefault="00507B94" w:rsidP="00507B94">
      <w:pPr>
        <w:spacing w:after="0" w:line="360" w:lineRule="auto"/>
        <w:jc w:val="center"/>
        <w:rPr>
          <w:rFonts w:ascii="Cambria" w:eastAsia="Aptos" w:hAnsi="Cambria" w:cs="Times New Roman"/>
        </w:rPr>
      </w:pPr>
    </w:p>
    <w:p w14:paraId="2D3D57A4" w14:textId="77777777" w:rsidR="00507B94" w:rsidRPr="00507B94" w:rsidRDefault="00507B94" w:rsidP="00507B94">
      <w:pPr>
        <w:spacing w:after="0" w:line="360" w:lineRule="auto"/>
        <w:jc w:val="center"/>
        <w:rPr>
          <w:rFonts w:ascii="Cambria" w:eastAsia="Aptos" w:hAnsi="Cambria" w:cs="Times New Roman"/>
          <w:b/>
          <w:bCs/>
        </w:rPr>
      </w:pPr>
      <w:r w:rsidRPr="00507B94">
        <w:rPr>
          <w:rFonts w:ascii="Cambria" w:eastAsia="Aptos" w:hAnsi="Cambria" w:cs="Times New Roman"/>
        </w:rPr>
        <w:t>Članak 16.</w:t>
      </w:r>
    </w:p>
    <w:p w14:paraId="2557FFF4"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U Proračunu su planirana sredstva proračunske zalihe u iznosu od 7.000,00 eura. Sredstva proračunske zalihe koriste se za nepredviđene namjene, za koje u proračunu nisu osigurana sredstva ili za namjene za koje se tijekom godine pokaže da nisu utvrđena dovoljna sredstva (elementarne nepogode, epidemije, hitne intervencije i slične situacije). O korištenju sredstava proračunske zalihe odlučuje Načelnik. Sredstva proračunske zalihe ne mogu se koristiti za davanje pozajmica. Načelnik je obvezan izvijestiti Općinsko vijeće o korištenju sredstava proračunske zalihe.</w:t>
      </w:r>
    </w:p>
    <w:p w14:paraId="3C02F128" w14:textId="77777777" w:rsidR="00507B94" w:rsidRPr="00507B94" w:rsidRDefault="00507B94" w:rsidP="00507B94">
      <w:pPr>
        <w:spacing w:after="0" w:line="360" w:lineRule="auto"/>
        <w:jc w:val="both"/>
        <w:rPr>
          <w:rFonts w:ascii="Cambria" w:eastAsia="Aptos" w:hAnsi="Cambria" w:cs="Times New Roman"/>
          <w:b/>
          <w:bCs/>
        </w:rPr>
      </w:pPr>
    </w:p>
    <w:p w14:paraId="57EA6A3D" w14:textId="77777777" w:rsidR="00507B94" w:rsidRPr="00507B94" w:rsidRDefault="00507B94" w:rsidP="00507B94">
      <w:pPr>
        <w:spacing w:after="0" w:line="360" w:lineRule="auto"/>
        <w:jc w:val="both"/>
        <w:rPr>
          <w:rFonts w:ascii="Cambria" w:eastAsia="Aptos" w:hAnsi="Cambria" w:cs="Times New Roman"/>
          <w:b/>
          <w:bCs/>
        </w:rPr>
      </w:pPr>
      <w:r w:rsidRPr="00507B94">
        <w:rPr>
          <w:rFonts w:ascii="Cambria" w:eastAsia="Aptos" w:hAnsi="Cambria" w:cs="Times New Roman"/>
          <w:b/>
          <w:bCs/>
        </w:rPr>
        <w:t>VII. UPRAVLJANJE FINANCIJSKOM I NEFINANCIJSKOM IMOVINOM</w:t>
      </w:r>
    </w:p>
    <w:p w14:paraId="56FA96C7" w14:textId="77777777" w:rsidR="00507B94" w:rsidRPr="00507B94" w:rsidRDefault="00507B94" w:rsidP="00507B94">
      <w:pPr>
        <w:spacing w:after="0" w:line="360" w:lineRule="auto"/>
        <w:jc w:val="center"/>
        <w:rPr>
          <w:rFonts w:ascii="Cambria" w:eastAsia="Aptos" w:hAnsi="Cambria" w:cs="Times New Roman"/>
        </w:rPr>
      </w:pPr>
    </w:p>
    <w:p w14:paraId="66772A5B" w14:textId="77777777" w:rsidR="00507B94" w:rsidRPr="00507B94" w:rsidRDefault="00507B94" w:rsidP="00507B94">
      <w:pPr>
        <w:spacing w:after="0" w:line="360" w:lineRule="auto"/>
        <w:jc w:val="center"/>
        <w:rPr>
          <w:rFonts w:ascii="Cambria" w:eastAsia="Aptos" w:hAnsi="Cambria" w:cs="Times New Roman"/>
        </w:rPr>
      </w:pPr>
      <w:r w:rsidRPr="00507B94">
        <w:rPr>
          <w:rFonts w:ascii="Cambria" w:eastAsia="Aptos" w:hAnsi="Cambria" w:cs="Times New Roman"/>
        </w:rPr>
        <w:t>Članak 17.</w:t>
      </w:r>
    </w:p>
    <w:p w14:paraId="04A0CBA4"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Raspoloživim novčanim sredstvima na računu Proračuna upravlja Načelnik. Slobodna novčana sredstva mogu se oročavati kod poslovne banke poštujući načela sigurnosti, likvidnosti i isplativosti ulaganja.</w:t>
      </w:r>
    </w:p>
    <w:p w14:paraId="27B0F93E" w14:textId="77777777" w:rsidR="00507B94" w:rsidRPr="00507B94" w:rsidRDefault="00507B94" w:rsidP="00507B94">
      <w:pPr>
        <w:spacing w:after="0" w:line="360" w:lineRule="auto"/>
        <w:jc w:val="both"/>
        <w:rPr>
          <w:rFonts w:ascii="Cambria" w:eastAsia="Aptos" w:hAnsi="Cambria" w:cs="Times New Roman"/>
        </w:rPr>
      </w:pPr>
    </w:p>
    <w:p w14:paraId="4B568EDF" w14:textId="77777777" w:rsidR="00507B94" w:rsidRPr="00507B94" w:rsidRDefault="00507B94" w:rsidP="00507B94">
      <w:pPr>
        <w:spacing w:after="0" w:line="360" w:lineRule="auto"/>
        <w:jc w:val="center"/>
        <w:rPr>
          <w:rFonts w:ascii="Cambria" w:eastAsia="Aptos" w:hAnsi="Cambria" w:cs="Times New Roman"/>
        </w:rPr>
      </w:pPr>
      <w:r w:rsidRPr="00507B94">
        <w:rPr>
          <w:rFonts w:ascii="Cambria" w:eastAsia="Aptos" w:hAnsi="Cambria" w:cs="Times New Roman"/>
        </w:rPr>
        <w:t>Članak 18.</w:t>
      </w:r>
    </w:p>
    <w:p w14:paraId="52B3E890"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Nefinancijskom dugotrajnom imovinom Općine (nekretnine, pokretnine) upravlja Načelnik pažnjom dobrog gospodara. Sredstva za održavanje i osiguranje imovine osiguravaju se u rashodima poslovanja. Postupci nabave roba, radova i usluga moraju se provoditi sukladno Zakonu o javnoj nabavi i internim aktima Općine.</w:t>
      </w:r>
    </w:p>
    <w:p w14:paraId="5AEDB733"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Iz sredstava Proračuna može se odobriti pozajmica proračunskim korisnicima, trgovačkim društvima u vlasništvu ili suvlasništvu Općine, ukoliko to ne ometa redovito izvršavanje proračunskih izdataka. O davanju kratkoročnih pozajmica odlučuje Načelnik do visine 0,5 % prihoda Proračuna prethodne godine bez primitaka. Iznad navedenog iznosa pozajmicu odobrava Općinsko vijeće. Dane pozajmice moraju se vratiti u Proračun do 31. prosinca 2026. godine.</w:t>
      </w:r>
    </w:p>
    <w:p w14:paraId="6C9A0607" w14:textId="77777777" w:rsidR="00507B94" w:rsidRPr="00507B94" w:rsidRDefault="00507B94" w:rsidP="00507B94">
      <w:pPr>
        <w:spacing w:after="0" w:line="360" w:lineRule="auto"/>
        <w:jc w:val="both"/>
        <w:rPr>
          <w:rFonts w:ascii="Cambria" w:eastAsia="Aptos" w:hAnsi="Cambria" w:cs="Times New Roman"/>
          <w:b/>
          <w:bCs/>
        </w:rPr>
      </w:pPr>
      <w:r w:rsidRPr="00507B94">
        <w:rPr>
          <w:rFonts w:ascii="Cambria" w:eastAsia="Aptos" w:hAnsi="Cambria" w:cs="Times New Roman"/>
          <w:b/>
          <w:bCs/>
        </w:rPr>
        <w:t>VIII. ZADUŽIVANJE I JAMSTVA</w:t>
      </w:r>
    </w:p>
    <w:p w14:paraId="6BE626F6" w14:textId="77777777" w:rsidR="00507B94" w:rsidRPr="00507B94" w:rsidRDefault="00507B94" w:rsidP="00507B94">
      <w:pPr>
        <w:spacing w:after="0" w:line="360" w:lineRule="auto"/>
        <w:jc w:val="center"/>
        <w:rPr>
          <w:rFonts w:ascii="Cambria" w:eastAsia="Aptos" w:hAnsi="Cambria" w:cs="Times New Roman"/>
        </w:rPr>
      </w:pPr>
      <w:r w:rsidRPr="00507B94">
        <w:rPr>
          <w:rFonts w:ascii="Cambria" w:eastAsia="Aptos" w:hAnsi="Cambria" w:cs="Times New Roman"/>
        </w:rPr>
        <w:t>Članak 19.</w:t>
      </w:r>
    </w:p>
    <w:p w14:paraId="7771A546"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 xml:space="preserve">Općina se može kratkoročno zadužiti najduže do 12 mjeseci isključivo za premošćivanje jaza nastalog zbog različite dinamike priljeva sredstava i dospijeća obveza. Općina se u 2026. godini može kratkoročno zadužiti kod kreditnih institucija do iznosa od 1.000.000,00 eura. Odluku o kratkoročnom zaduženju donosi Općinsko vijeće na prijedlog Načelnika. Načelnik je ovlašten </w:t>
      </w:r>
      <w:r w:rsidRPr="00507B94">
        <w:rPr>
          <w:rFonts w:ascii="Cambria" w:eastAsia="Aptos" w:hAnsi="Cambria" w:cs="Times New Roman"/>
        </w:rPr>
        <w:lastRenderedPageBreak/>
        <w:t xml:space="preserve">sklopiti ugovor o </w:t>
      </w:r>
      <w:proofErr w:type="spellStart"/>
      <w:r w:rsidRPr="00507B94">
        <w:rPr>
          <w:rFonts w:ascii="Cambria" w:eastAsia="Aptos" w:hAnsi="Cambria" w:cs="Times New Roman"/>
        </w:rPr>
        <w:t>factoringu</w:t>
      </w:r>
      <w:proofErr w:type="spellEnd"/>
      <w:r w:rsidRPr="00507B94">
        <w:rPr>
          <w:rFonts w:ascii="Cambria" w:eastAsia="Aptos" w:hAnsi="Cambria" w:cs="Times New Roman"/>
        </w:rPr>
        <w:t xml:space="preserve"> i ostale oblike financiranja u ograničenim limitima kod kreditnih institucija radi održavanja likvidnosti.</w:t>
      </w:r>
    </w:p>
    <w:p w14:paraId="5DDE5CA6" w14:textId="77777777" w:rsidR="00507B94" w:rsidRPr="00507B94" w:rsidRDefault="00507B94" w:rsidP="00507B94">
      <w:pPr>
        <w:spacing w:after="0" w:line="360" w:lineRule="auto"/>
        <w:jc w:val="both"/>
        <w:rPr>
          <w:rFonts w:ascii="Cambria" w:eastAsia="Aptos" w:hAnsi="Cambria" w:cs="Times New Roman"/>
        </w:rPr>
      </w:pPr>
    </w:p>
    <w:p w14:paraId="36952DA3" w14:textId="77777777" w:rsidR="00507B94" w:rsidRPr="00507B94" w:rsidRDefault="00507B94" w:rsidP="00507B94">
      <w:pPr>
        <w:spacing w:after="0" w:line="360" w:lineRule="auto"/>
        <w:jc w:val="center"/>
        <w:rPr>
          <w:rFonts w:ascii="Cambria" w:eastAsia="Aptos" w:hAnsi="Cambria" w:cs="Times New Roman"/>
        </w:rPr>
      </w:pPr>
      <w:r w:rsidRPr="00507B94">
        <w:rPr>
          <w:rFonts w:ascii="Cambria" w:eastAsia="Aptos" w:hAnsi="Cambria" w:cs="Times New Roman"/>
        </w:rPr>
        <w:t>Članak 20.</w:t>
      </w:r>
    </w:p>
    <w:p w14:paraId="14049E2F"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Općina se može dugoročno zadužiti za investicije koje se financiraju iz proračuna, uz suglasnost Vlade Republike Hrvatske, a na temelju odluke Općinskog vijeća. Za kapitalne projekte koji se sufinanciraju iz fondova Europske unije. Općina se može zadužiti sukladno dinamici realizacije projekta.</w:t>
      </w:r>
    </w:p>
    <w:p w14:paraId="10352DFF" w14:textId="77777777" w:rsidR="00507B94" w:rsidRPr="00507B94" w:rsidRDefault="00507B94" w:rsidP="00507B94">
      <w:pPr>
        <w:spacing w:after="0" w:line="360" w:lineRule="auto"/>
        <w:jc w:val="both"/>
        <w:rPr>
          <w:rFonts w:ascii="Cambria" w:eastAsia="Aptos" w:hAnsi="Cambria" w:cs="Times New Roman"/>
        </w:rPr>
      </w:pPr>
    </w:p>
    <w:p w14:paraId="63323699" w14:textId="77777777" w:rsidR="00507B94" w:rsidRPr="00507B94" w:rsidRDefault="00507B94" w:rsidP="00507B94">
      <w:pPr>
        <w:spacing w:after="0" w:line="360" w:lineRule="auto"/>
        <w:jc w:val="center"/>
        <w:rPr>
          <w:rFonts w:ascii="Cambria" w:eastAsia="Aptos" w:hAnsi="Cambria" w:cs="Times New Roman"/>
        </w:rPr>
      </w:pPr>
      <w:r w:rsidRPr="00507B94">
        <w:rPr>
          <w:rFonts w:ascii="Cambria" w:eastAsia="Aptos" w:hAnsi="Cambria" w:cs="Times New Roman"/>
        </w:rPr>
        <w:t>Članak 21.</w:t>
      </w:r>
    </w:p>
    <w:p w14:paraId="186576CF"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Pravna osoba čiji je osnivač i vlasnik Općina može se dugoročno zadužiti i dobiti jamstvo Općine samo uz suglasnost Općinskog vijeća, sukladno zakonu. Dana jamstva uključuju se u opseg zaduženja Općine.</w:t>
      </w:r>
    </w:p>
    <w:p w14:paraId="078B93E8" w14:textId="77777777" w:rsidR="00507B94" w:rsidRPr="00507B94" w:rsidRDefault="00507B94" w:rsidP="00507B94">
      <w:pPr>
        <w:spacing w:after="0" w:line="360" w:lineRule="auto"/>
        <w:jc w:val="both"/>
        <w:rPr>
          <w:rFonts w:ascii="Cambria" w:eastAsia="Aptos" w:hAnsi="Cambria" w:cs="Times New Roman"/>
          <w:b/>
          <w:bCs/>
        </w:rPr>
      </w:pPr>
    </w:p>
    <w:p w14:paraId="10B5E14F" w14:textId="77777777" w:rsidR="00507B94" w:rsidRPr="00507B94" w:rsidRDefault="00507B94" w:rsidP="00507B94">
      <w:pPr>
        <w:spacing w:after="0" w:line="360" w:lineRule="auto"/>
        <w:jc w:val="both"/>
        <w:rPr>
          <w:rFonts w:ascii="Cambria" w:eastAsia="Aptos" w:hAnsi="Cambria" w:cs="Times New Roman"/>
          <w:b/>
          <w:bCs/>
        </w:rPr>
      </w:pPr>
      <w:r w:rsidRPr="00507B94">
        <w:rPr>
          <w:rFonts w:ascii="Cambria" w:eastAsia="Aptos" w:hAnsi="Cambria" w:cs="Times New Roman"/>
          <w:b/>
          <w:bCs/>
        </w:rPr>
        <w:t>IX. NAPLATA POTRAŽIVANJA I OTPIS DUGOVA</w:t>
      </w:r>
    </w:p>
    <w:p w14:paraId="2C9145C1" w14:textId="77777777" w:rsidR="00507B94" w:rsidRPr="00507B94" w:rsidRDefault="00507B94" w:rsidP="00507B94">
      <w:pPr>
        <w:spacing w:after="0" w:line="360" w:lineRule="auto"/>
        <w:jc w:val="center"/>
        <w:rPr>
          <w:rFonts w:ascii="Cambria" w:eastAsia="Aptos" w:hAnsi="Cambria" w:cs="Times New Roman"/>
        </w:rPr>
      </w:pPr>
      <w:r w:rsidRPr="00507B94">
        <w:rPr>
          <w:rFonts w:ascii="Cambria" w:eastAsia="Aptos" w:hAnsi="Cambria" w:cs="Times New Roman"/>
        </w:rPr>
        <w:t>Članak 22.</w:t>
      </w:r>
    </w:p>
    <w:p w14:paraId="5C2DBD7A"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Načelnik može, na zahtjev dužnika, odgoditi plaćanje ili odobriti obročnu otplatu duga ako se time bitno poboljšavaju mogućnosti otplate, sukladno posebnim aktima Općinskog vijeća i važećim propisima.</w:t>
      </w:r>
    </w:p>
    <w:p w14:paraId="61CACC48" w14:textId="77777777" w:rsidR="00507B94" w:rsidRPr="00507B94" w:rsidRDefault="00507B94" w:rsidP="00507B94">
      <w:pPr>
        <w:spacing w:after="0" w:line="360" w:lineRule="auto"/>
        <w:jc w:val="both"/>
        <w:rPr>
          <w:rFonts w:ascii="Cambria" w:eastAsia="Aptos" w:hAnsi="Cambria" w:cs="Times New Roman"/>
        </w:rPr>
      </w:pPr>
    </w:p>
    <w:p w14:paraId="3C0BD3A1" w14:textId="77777777" w:rsidR="00507B94" w:rsidRPr="00507B94" w:rsidRDefault="00507B94" w:rsidP="00507B94">
      <w:pPr>
        <w:spacing w:after="0" w:line="360" w:lineRule="auto"/>
        <w:jc w:val="center"/>
        <w:rPr>
          <w:rFonts w:ascii="Cambria" w:eastAsia="Aptos" w:hAnsi="Cambria" w:cs="Times New Roman"/>
        </w:rPr>
      </w:pPr>
    </w:p>
    <w:p w14:paraId="2CC2896D" w14:textId="77777777" w:rsidR="00507B94" w:rsidRPr="00507B94" w:rsidRDefault="00507B94" w:rsidP="00507B94">
      <w:pPr>
        <w:spacing w:after="0" w:line="360" w:lineRule="auto"/>
        <w:jc w:val="center"/>
        <w:rPr>
          <w:rFonts w:ascii="Cambria" w:eastAsia="Aptos" w:hAnsi="Cambria" w:cs="Times New Roman"/>
        </w:rPr>
      </w:pPr>
      <w:r w:rsidRPr="00507B94">
        <w:rPr>
          <w:rFonts w:ascii="Cambria" w:eastAsia="Aptos" w:hAnsi="Cambria" w:cs="Times New Roman"/>
        </w:rPr>
        <w:t>Članak 23.</w:t>
      </w:r>
    </w:p>
    <w:p w14:paraId="3E1EEE71"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Načelnik može donijeti odluku o otpisu potraživanja za iznose manje od 10,00 eura ako bi troškovi naplate bili veći od visine potraživanja. Načelnik može donijeti odluku o otpisu potraživanja za koja je nastupila zastara, te u slučajevima kada je dužnik umro a nije ostavio imovinu, ili je brisan iz sudskog registra.</w:t>
      </w:r>
    </w:p>
    <w:p w14:paraId="43AE48B5" w14:textId="77777777" w:rsidR="00507B94" w:rsidRPr="00507B94" w:rsidRDefault="00507B94" w:rsidP="00507B94">
      <w:pPr>
        <w:spacing w:after="0" w:line="360" w:lineRule="auto"/>
        <w:jc w:val="both"/>
        <w:rPr>
          <w:rFonts w:ascii="Cambria" w:eastAsia="Aptos" w:hAnsi="Cambria" w:cs="Times New Roman"/>
        </w:rPr>
      </w:pPr>
    </w:p>
    <w:p w14:paraId="10281190" w14:textId="77777777" w:rsidR="00507B94" w:rsidRPr="00507B94" w:rsidRDefault="00507B94" w:rsidP="00507B94">
      <w:pPr>
        <w:spacing w:after="0" w:line="360" w:lineRule="auto"/>
        <w:jc w:val="center"/>
        <w:rPr>
          <w:rFonts w:ascii="Cambria" w:eastAsia="Aptos" w:hAnsi="Cambria" w:cs="Times New Roman"/>
        </w:rPr>
      </w:pPr>
      <w:r w:rsidRPr="00507B94">
        <w:rPr>
          <w:rFonts w:ascii="Cambria" w:eastAsia="Aptos" w:hAnsi="Cambria" w:cs="Times New Roman"/>
        </w:rPr>
        <w:t>Članak 24.</w:t>
      </w:r>
    </w:p>
    <w:p w14:paraId="6C367190"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Pogrešno ili više uplaćeni prihodi u Proračun vraćaju se uplatiteljima na teret tih prihoda. Rješenje o povratu donosi Jedinstveni upravni odjel na temelju dokumentiranog zahtjeva.</w:t>
      </w:r>
    </w:p>
    <w:p w14:paraId="7FAFA09D" w14:textId="77777777" w:rsidR="00507B94" w:rsidRPr="00507B94" w:rsidRDefault="00507B94" w:rsidP="00507B94">
      <w:pPr>
        <w:spacing w:after="0" w:line="360" w:lineRule="auto"/>
        <w:jc w:val="both"/>
        <w:rPr>
          <w:rFonts w:ascii="Cambria" w:eastAsia="Aptos" w:hAnsi="Cambria" w:cs="Times New Roman"/>
          <w:b/>
          <w:bCs/>
        </w:rPr>
      </w:pPr>
    </w:p>
    <w:p w14:paraId="0FB19841" w14:textId="77777777" w:rsidR="00507B94" w:rsidRPr="00507B94" w:rsidRDefault="00507B94" w:rsidP="00507B94">
      <w:pPr>
        <w:spacing w:after="0" w:line="360" w:lineRule="auto"/>
        <w:jc w:val="both"/>
        <w:rPr>
          <w:rFonts w:ascii="Cambria" w:eastAsia="Aptos" w:hAnsi="Cambria" w:cs="Times New Roman"/>
          <w:b/>
          <w:bCs/>
        </w:rPr>
      </w:pPr>
      <w:r w:rsidRPr="00507B94">
        <w:rPr>
          <w:rFonts w:ascii="Cambria" w:eastAsia="Aptos" w:hAnsi="Cambria" w:cs="Times New Roman"/>
          <w:b/>
          <w:bCs/>
        </w:rPr>
        <w:t>X. IZVJEŠTAVANJE</w:t>
      </w:r>
    </w:p>
    <w:p w14:paraId="2B2ABAC6" w14:textId="77777777" w:rsidR="00507B94" w:rsidRPr="00507B94" w:rsidRDefault="00507B94" w:rsidP="00507B94">
      <w:pPr>
        <w:spacing w:after="0" w:line="360" w:lineRule="auto"/>
        <w:jc w:val="center"/>
        <w:rPr>
          <w:rFonts w:ascii="Cambria" w:eastAsia="Aptos" w:hAnsi="Cambria" w:cs="Times New Roman"/>
        </w:rPr>
      </w:pPr>
      <w:r w:rsidRPr="00507B94">
        <w:rPr>
          <w:rFonts w:ascii="Cambria" w:eastAsia="Aptos" w:hAnsi="Cambria" w:cs="Times New Roman"/>
        </w:rPr>
        <w:t>Članak 25.</w:t>
      </w:r>
    </w:p>
    <w:p w14:paraId="214C0A82"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Proračunski korisnici dužni su dostaviti polugodišnje i godišnje izvještaje o izvršenju svojih financijskih planova Jedinstvenom upravnom odjelu. Jedinstveni upravni odjel izrađuje polugodišnji i godišnji izvještaj o izvršenju Proračuna i dostavlja ga Načelniku.</w:t>
      </w:r>
    </w:p>
    <w:p w14:paraId="7D3BE920" w14:textId="77777777" w:rsidR="00507B94" w:rsidRPr="00507B94" w:rsidRDefault="00507B94" w:rsidP="00507B94">
      <w:pPr>
        <w:spacing w:after="0" w:line="360" w:lineRule="auto"/>
        <w:jc w:val="both"/>
        <w:rPr>
          <w:rFonts w:ascii="Cambria" w:eastAsia="Aptos" w:hAnsi="Cambria" w:cs="Times New Roman"/>
        </w:rPr>
      </w:pPr>
    </w:p>
    <w:p w14:paraId="7E6B70E6" w14:textId="77777777" w:rsidR="00507B94" w:rsidRPr="00507B94" w:rsidRDefault="00507B94" w:rsidP="00507B94">
      <w:pPr>
        <w:spacing w:after="0" w:line="360" w:lineRule="auto"/>
        <w:jc w:val="center"/>
        <w:rPr>
          <w:rFonts w:ascii="Cambria" w:eastAsia="Aptos" w:hAnsi="Cambria" w:cs="Times New Roman"/>
        </w:rPr>
      </w:pPr>
      <w:r w:rsidRPr="00507B94">
        <w:rPr>
          <w:rFonts w:ascii="Cambria" w:eastAsia="Aptos" w:hAnsi="Cambria" w:cs="Times New Roman"/>
        </w:rPr>
        <w:t>Članak 26.</w:t>
      </w:r>
    </w:p>
    <w:p w14:paraId="7AD7268E"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Načelnik podnosi polugodišnji i godišnji izvještaj o izvršenju Proračuna Općinskom vijeću u rokovima propisanim Zakonom o proračunu.</w:t>
      </w:r>
    </w:p>
    <w:p w14:paraId="2AEF114B" w14:textId="77777777" w:rsidR="00507B94" w:rsidRPr="00507B94" w:rsidRDefault="00507B94" w:rsidP="00507B94">
      <w:pPr>
        <w:spacing w:after="0" w:line="360" w:lineRule="auto"/>
        <w:jc w:val="both"/>
        <w:rPr>
          <w:rFonts w:ascii="Cambria" w:eastAsia="Aptos" w:hAnsi="Cambria" w:cs="Times New Roman"/>
          <w:b/>
          <w:bCs/>
        </w:rPr>
      </w:pPr>
    </w:p>
    <w:p w14:paraId="30773FE4" w14:textId="77777777" w:rsidR="00507B94" w:rsidRPr="00507B94" w:rsidRDefault="00507B94" w:rsidP="00507B94">
      <w:pPr>
        <w:spacing w:after="0" w:line="360" w:lineRule="auto"/>
        <w:jc w:val="both"/>
        <w:rPr>
          <w:rFonts w:ascii="Cambria" w:eastAsia="Aptos" w:hAnsi="Cambria" w:cs="Times New Roman"/>
          <w:b/>
          <w:bCs/>
        </w:rPr>
      </w:pPr>
    </w:p>
    <w:p w14:paraId="69DAD8E7" w14:textId="77777777" w:rsidR="00507B94" w:rsidRPr="00507B94" w:rsidRDefault="00507B94" w:rsidP="00507B94">
      <w:pPr>
        <w:spacing w:after="0" w:line="360" w:lineRule="auto"/>
        <w:jc w:val="both"/>
        <w:rPr>
          <w:rFonts w:ascii="Cambria" w:eastAsia="Aptos" w:hAnsi="Cambria" w:cs="Times New Roman"/>
          <w:b/>
          <w:bCs/>
        </w:rPr>
      </w:pPr>
      <w:r w:rsidRPr="00507B94">
        <w:rPr>
          <w:rFonts w:ascii="Cambria" w:eastAsia="Aptos" w:hAnsi="Cambria" w:cs="Times New Roman"/>
          <w:b/>
          <w:bCs/>
        </w:rPr>
        <w:t>XI. NAKNADE TROŠKOVA I OSTALA MATERIJALNA PRAVA</w:t>
      </w:r>
    </w:p>
    <w:p w14:paraId="0BC01646" w14:textId="77777777" w:rsidR="00507B94" w:rsidRPr="00507B94" w:rsidRDefault="00507B94" w:rsidP="00507B94">
      <w:pPr>
        <w:spacing w:after="0" w:line="360" w:lineRule="auto"/>
        <w:jc w:val="center"/>
        <w:rPr>
          <w:rFonts w:ascii="Cambria" w:eastAsia="Aptos" w:hAnsi="Cambria" w:cs="Times New Roman"/>
        </w:rPr>
      </w:pPr>
      <w:r w:rsidRPr="00507B94">
        <w:rPr>
          <w:rFonts w:ascii="Cambria" w:eastAsia="Aptos" w:hAnsi="Cambria" w:cs="Times New Roman"/>
        </w:rPr>
        <w:t>Članak 27.</w:t>
      </w:r>
    </w:p>
    <w:p w14:paraId="632334AC"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Proračunskim korisnicima kojima se u Proračunu osiguravaju sredstva za plaće zaposlenih, isplaćivat će se sredstva za ostala materijalna prava zaposlenika prema njihovim općim aktima i kolektivnim ugovorima, do visine utvrđene tim aktima i osiguranim sredstvima.</w:t>
      </w:r>
    </w:p>
    <w:p w14:paraId="58A8A1FE" w14:textId="77777777" w:rsidR="00507B94" w:rsidRPr="00507B94" w:rsidRDefault="00507B94" w:rsidP="00507B94">
      <w:pPr>
        <w:spacing w:after="0" w:line="360" w:lineRule="auto"/>
        <w:jc w:val="both"/>
        <w:rPr>
          <w:rFonts w:ascii="Cambria" w:eastAsia="Aptos" w:hAnsi="Cambria" w:cs="Times New Roman"/>
        </w:rPr>
      </w:pPr>
    </w:p>
    <w:p w14:paraId="585B829C" w14:textId="77777777" w:rsidR="00507B94" w:rsidRPr="00507B94" w:rsidRDefault="00507B94" w:rsidP="00507B94">
      <w:pPr>
        <w:spacing w:after="0" w:line="360" w:lineRule="auto"/>
        <w:jc w:val="center"/>
        <w:rPr>
          <w:rFonts w:ascii="Cambria" w:eastAsia="Aptos" w:hAnsi="Cambria" w:cs="Times New Roman"/>
        </w:rPr>
      </w:pPr>
      <w:r w:rsidRPr="00507B94">
        <w:rPr>
          <w:rFonts w:ascii="Cambria" w:eastAsia="Aptos" w:hAnsi="Cambria" w:cs="Times New Roman"/>
        </w:rPr>
        <w:t>Članak 28.</w:t>
      </w:r>
    </w:p>
    <w:p w14:paraId="49AE85BE"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Sredstva za rad političkih stranaka i članova Općinskog vijeća raspoređuju se temeljem posebne Odluke Općinskog vijeća, razmjerno broju vijećnika.</w:t>
      </w:r>
    </w:p>
    <w:p w14:paraId="474DB984" w14:textId="77777777" w:rsidR="00507B94" w:rsidRPr="00507B94" w:rsidRDefault="00507B94" w:rsidP="00507B94">
      <w:pPr>
        <w:spacing w:after="0" w:line="360" w:lineRule="auto"/>
        <w:jc w:val="both"/>
        <w:rPr>
          <w:rFonts w:ascii="Cambria" w:eastAsia="Aptos" w:hAnsi="Cambria" w:cs="Times New Roman"/>
          <w:b/>
          <w:bCs/>
        </w:rPr>
      </w:pPr>
    </w:p>
    <w:p w14:paraId="0BD2E196" w14:textId="77777777" w:rsidR="00507B94" w:rsidRPr="00507B94" w:rsidRDefault="00507B94" w:rsidP="00507B94">
      <w:pPr>
        <w:spacing w:after="0" w:line="360" w:lineRule="auto"/>
        <w:jc w:val="both"/>
        <w:rPr>
          <w:rFonts w:ascii="Cambria" w:eastAsia="Aptos" w:hAnsi="Cambria" w:cs="Times New Roman"/>
          <w:b/>
          <w:bCs/>
        </w:rPr>
      </w:pPr>
      <w:r w:rsidRPr="00507B94">
        <w:rPr>
          <w:rFonts w:ascii="Cambria" w:eastAsia="Aptos" w:hAnsi="Cambria" w:cs="Times New Roman"/>
          <w:b/>
          <w:bCs/>
        </w:rPr>
        <w:t>XII. ZAVRŠNE ODREDBE</w:t>
      </w:r>
    </w:p>
    <w:p w14:paraId="3424E8CC" w14:textId="77777777" w:rsidR="00507B94" w:rsidRPr="00507B94" w:rsidRDefault="00507B94" w:rsidP="00507B94">
      <w:pPr>
        <w:spacing w:after="0" w:line="360" w:lineRule="auto"/>
        <w:jc w:val="center"/>
        <w:rPr>
          <w:rFonts w:ascii="Cambria" w:eastAsia="Aptos" w:hAnsi="Cambria" w:cs="Times New Roman"/>
        </w:rPr>
      </w:pPr>
      <w:r w:rsidRPr="00507B94">
        <w:rPr>
          <w:rFonts w:ascii="Cambria" w:eastAsia="Aptos" w:hAnsi="Cambria" w:cs="Times New Roman"/>
        </w:rPr>
        <w:t>Članak 29.</w:t>
      </w:r>
    </w:p>
    <w:p w14:paraId="0703A185" w14:textId="77777777" w:rsidR="00507B94" w:rsidRPr="00507B94" w:rsidRDefault="00507B94" w:rsidP="00507B94">
      <w:pPr>
        <w:spacing w:after="0" w:line="360" w:lineRule="auto"/>
        <w:jc w:val="both"/>
        <w:rPr>
          <w:rFonts w:ascii="Cambria" w:eastAsia="Aptos" w:hAnsi="Cambria" w:cs="Times New Roman"/>
        </w:rPr>
      </w:pPr>
      <w:r w:rsidRPr="00507B94">
        <w:rPr>
          <w:rFonts w:ascii="Cambria" w:eastAsia="Aptos" w:hAnsi="Cambria" w:cs="Times New Roman"/>
        </w:rPr>
        <w:t>Ova Odluka objavit će se u „Službenom glasniku Općine Sveti Filip i Jakov“, a stupa na snagu 1. siječnja 2026. godine.</w:t>
      </w:r>
    </w:p>
    <w:p w14:paraId="315822C4" w14:textId="77777777" w:rsidR="00507B94" w:rsidRPr="00507B94" w:rsidRDefault="00507B94" w:rsidP="00507B94">
      <w:pPr>
        <w:spacing w:after="0" w:line="240" w:lineRule="auto"/>
        <w:jc w:val="both"/>
        <w:rPr>
          <w:rFonts w:ascii="Cambria" w:eastAsia="Aptos" w:hAnsi="Cambria" w:cs="Times New Roman"/>
          <w:b/>
        </w:rPr>
      </w:pPr>
      <w:r w:rsidRPr="00507B94">
        <w:rPr>
          <w:rFonts w:ascii="Cambria" w:eastAsia="Aptos" w:hAnsi="Cambria" w:cs="Times New Roman"/>
          <w:b/>
        </w:rPr>
        <w:t>KLASA: 400-01/25-01/06</w:t>
      </w:r>
    </w:p>
    <w:p w14:paraId="1D3A7C91" w14:textId="77777777" w:rsidR="00507B94" w:rsidRPr="00507B94" w:rsidRDefault="00507B94" w:rsidP="00507B94">
      <w:pPr>
        <w:spacing w:after="0" w:line="240" w:lineRule="auto"/>
        <w:jc w:val="both"/>
        <w:rPr>
          <w:rFonts w:ascii="Cambria" w:eastAsia="Aptos" w:hAnsi="Cambria" w:cs="Times New Roman"/>
          <w:b/>
        </w:rPr>
      </w:pPr>
      <w:r w:rsidRPr="00507B94">
        <w:rPr>
          <w:rFonts w:ascii="Cambria" w:eastAsia="Aptos" w:hAnsi="Cambria" w:cs="Times New Roman"/>
          <w:b/>
        </w:rPr>
        <w:t>URBROJ: 2198-19-03-01/02-25-30</w:t>
      </w:r>
    </w:p>
    <w:p w14:paraId="67C98577" w14:textId="77777777" w:rsidR="00507B94" w:rsidRPr="00507B94" w:rsidRDefault="00507B94" w:rsidP="00507B94">
      <w:pPr>
        <w:spacing w:after="0" w:line="240" w:lineRule="auto"/>
        <w:jc w:val="both"/>
        <w:rPr>
          <w:rFonts w:ascii="Cambria" w:eastAsia="Aptos" w:hAnsi="Cambria" w:cs="Times New Roman"/>
          <w:b/>
        </w:rPr>
      </w:pPr>
      <w:r w:rsidRPr="00507B94">
        <w:rPr>
          <w:rFonts w:ascii="Cambria" w:eastAsia="Aptos" w:hAnsi="Cambria" w:cs="Times New Roman"/>
          <w:b/>
        </w:rPr>
        <w:t>Sveti Filip i Jakov, 22. prosinca 2025. godine</w:t>
      </w:r>
    </w:p>
    <w:p w14:paraId="39120850" w14:textId="77777777" w:rsidR="00507B94" w:rsidRPr="00507B94" w:rsidRDefault="00507B94" w:rsidP="00507B94">
      <w:pPr>
        <w:spacing w:after="0" w:line="240" w:lineRule="auto"/>
        <w:jc w:val="both"/>
        <w:rPr>
          <w:rFonts w:ascii="Cambria" w:eastAsia="Aptos" w:hAnsi="Cambria" w:cs="Times New Roman"/>
          <w:b/>
        </w:rPr>
      </w:pPr>
    </w:p>
    <w:p w14:paraId="03D5B5FD" w14:textId="77777777" w:rsidR="00507B94" w:rsidRPr="00507B94" w:rsidRDefault="00507B94" w:rsidP="00507B94">
      <w:pPr>
        <w:spacing w:after="0" w:line="360" w:lineRule="auto"/>
        <w:jc w:val="center"/>
        <w:rPr>
          <w:rFonts w:ascii="Cambria" w:eastAsia="Aptos" w:hAnsi="Cambria" w:cs="Times New Roman"/>
          <w:b/>
        </w:rPr>
      </w:pPr>
      <w:r w:rsidRPr="00507B94">
        <w:rPr>
          <w:rFonts w:ascii="Cambria" w:eastAsia="Aptos" w:hAnsi="Cambria" w:cs="Times New Roman"/>
          <w:b/>
        </w:rPr>
        <w:t>OPĆINSKO VIJEĆE OPĆINE SVETI FILIP I JAKOV</w:t>
      </w:r>
    </w:p>
    <w:p w14:paraId="38B364FB" w14:textId="77777777" w:rsidR="00507B94" w:rsidRPr="00507B94" w:rsidRDefault="00507B94" w:rsidP="00507B94">
      <w:pPr>
        <w:spacing w:after="0" w:line="240" w:lineRule="auto"/>
        <w:jc w:val="both"/>
        <w:rPr>
          <w:rFonts w:ascii="Cambria" w:eastAsia="Aptos" w:hAnsi="Cambria" w:cs="Times New Roman"/>
        </w:rPr>
      </w:pPr>
      <w:r w:rsidRPr="00507B94">
        <w:rPr>
          <w:rFonts w:ascii="Cambria" w:eastAsia="Aptos" w:hAnsi="Cambria" w:cs="Times New Roman"/>
        </w:rPr>
        <w:tab/>
      </w:r>
      <w:r w:rsidRPr="00507B94">
        <w:rPr>
          <w:rFonts w:ascii="Cambria" w:eastAsia="Aptos" w:hAnsi="Cambria" w:cs="Times New Roman"/>
        </w:rPr>
        <w:tab/>
      </w:r>
      <w:r w:rsidRPr="00507B94">
        <w:rPr>
          <w:rFonts w:ascii="Cambria" w:eastAsia="Aptos" w:hAnsi="Cambria" w:cs="Times New Roman"/>
        </w:rPr>
        <w:tab/>
      </w:r>
      <w:r w:rsidRPr="00507B94">
        <w:rPr>
          <w:rFonts w:ascii="Cambria" w:eastAsia="Aptos" w:hAnsi="Cambria" w:cs="Times New Roman"/>
        </w:rPr>
        <w:tab/>
      </w:r>
      <w:r w:rsidRPr="00507B94">
        <w:rPr>
          <w:rFonts w:ascii="Cambria" w:eastAsia="Aptos" w:hAnsi="Cambria" w:cs="Times New Roman"/>
        </w:rPr>
        <w:tab/>
      </w:r>
      <w:r w:rsidRPr="00507B94">
        <w:rPr>
          <w:rFonts w:ascii="Cambria" w:eastAsia="Aptos" w:hAnsi="Cambria" w:cs="Times New Roman"/>
        </w:rPr>
        <w:tab/>
      </w:r>
      <w:r w:rsidRPr="00507B94">
        <w:rPr>
          <w:rFonts w:ascii="Cambria" w:eastAsia="Aptos" w:hAnsi="Cambria" w:cs="Times New Roman"/>
        </w:rPr>
        <w:tab/>
      </w:r>
      <w:r w:rsidRPr="00507B94">
        <w:rPr>
          <w:rFonts w:ascii="Cambria" w:eastAsia="Aptos" w:hAnsi="Cambria" w:cs="Times New Roman"/>
        </w:rPr>
        <w:tab/>
        <w:t xml:space="preserve">Predsjednik Općinskog vijeća </w:t>
      </w:r>
    </w:p>
    <w:p w14:paraId="5535C241" w14:textId="77777777" w:rsidR="00507B94" w:rsidRPr="00507B94" w:rsidRDefault="00507B94" w:rsidP="00507B94">
      <w:pPr>
        <w:spacing w:after="0" w:line="240" w:lineRule="auto"/>
        <w:jc w:val="both"/>
        <w:rPr>
          <w:rFonts w:ascii="Cambria" w:eastAsia="Aptos" w:hAnsi="Cambria" w:cs="Times New Roman"/>
        </w:rPr>
      </w:pPr>
      <w:r w:rsidRPr="00507B94">
        <w:rPr>
          <w:rFonts w:ascii="Cambria" w:eastAsia="Aptos" w:hAnsi="Cambria" w:cs="Times New Roman"/>
        </w:rPr>
        <w:tab/>
      </w:r>
      <w:r w:rsidRPr="00507B94">
        <w:rPr>
          <w:rFonts w:ascii="Cambria" w:eastAsia="Aptos" w:hAnsi="Cambria" w:cs="Times New Roman"/>
        </w:rPr>
        <w:tab/>
      </w:r>
      <w:r w:rsidRPr="00507B94">
        <w:rPr>
          <w:rFonts w:ascii="Cambria" w:eastAsia="Aptos" w:hAnsi="Cambria" w:cs="Times New Roman"/>
        </w:rPr>
        <w:tab/>
      </w:r>
      <w:r w:rsidRPr="00507B94">
        <w:rPr>
          <w:rFonts w:ascii="Cambria" w:eastAsia="Aptos" w:hAnsi="Cambria" w:cs="Times New Roman"/>
        </w:rPr>
        <w:tab/>
      </w:r>
      <w:r w:rsidRPr="00507B94">
        <w:rPr>
          <w:rFonts w:ascii="Cambria" w:eastAsia="Aptos" w:hAnsi="Cambria" w:cs="Times New Roman"/>
        </w:rPr>
        <w:tab/>
      </w:r>
      <w:r w:rsidRPr="00507B94">
        <w:rPr>
          <w:rFonts w:ascii="Cambria" w:eastAsia="Aptos" w:hAnsi="Cambria" w:cs="Times New Roman"/>
        </w:rPr>
        <w:tab/>
      </w:r>
      <w:r w:rsidRPr="00507B94">
        <w:rPr>
          <w:rFonts w:ascii="Cambria" w:eastAsia="Aptos" w:hAnsi="Cambria" w:cs="Times New Roman"/>
        </w:rPr>
        <w:tab/>
      </w:r>
      <w:r w:rsidRPr="00507B94">
        <w:rPr>
          <w:rFonts w:ascii="Cambria" w:eastAsia="Aptos" w:hAnsi="Cambria" w:cs="Times New Roman"/>
        </w:rPr>
        <w:tab/>
      </w:r>
      <w:r w:rsidRPr="00507B94">
        <w:rPr>
          <w:rFonts w:ascii="Cambria" w:eastAsia="Aptos" w:hAnsi="Cambria" w:cs="Times New Roman"/>
        </w:rPr>
        <w:tab/>
        <w:t xml:space="preserve">Igor </w:t>
      </w:r>
      <w:proofErr w:type="spellStart"/>
      <w:r w:rsidRPr="00507B94">
        <w:rPr>
          <w:rFonts w:ascii="Cambria" w:eastAsia="Aptos" w:hAnsi="Cambria" w:cs="Times New Roman"/>
        </w:rPr>
        <w:t>Pedisić</w:t>
      </w:r>
      <w:proofErr w:type="spellEnd"/>
    </w:p>
    <w:p w14:paraId="0A6A25FC" w14:textId="77777777" w:rsidR="00507B94" w:rsidRPr="00507B94" w:rsidRDefault="00507B94" w:rsidP="00507B94">
      <w:pPr>
        <w:spacing w:after="0" w:line="360" w:lineRule="auto"/>
        <w:jc w:val="both"/>
        <w:rPr>
          <w:rFonts w:ascii="Cambria" w:eastAsia="Aptos" w:hAnsi="Cambria" w:cs="Times New Roman"/>
        </w:rPr>
      </w:pPr>
    </w:p>
    <w:p w14:paraId="2802B7F0" w14:textId="77777777" w:rsidR="00250C66" w:rsidRDefault="00250C66"/>
    <w:sectPr w:rsidR="00250C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D12"/>
    <w:rsid w:val="00157283"/>
    <w:rsid w:val="00210A63"/>
    <w:rsid w:val="00250C66"/>
    <w:rsid w:val="00372B20"/>
    <w:rsid w:val="00507B94"/>
    <w:rsid w:val="00572D12"/>
    <w:rsid w:val="00810E8A"/>
    <w:rsid w:val="00A16E6F"/>
    <w:rsid w:val="00A907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13E0B"/>
  <w15:chartTrackingRefBased/>
  <w15:docId w15:val="{C36F3942-570F-4C9F-BF9E-C7E59C64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572D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572D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572D1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572D1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572D12"/>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572D1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72D1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72D1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72D1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72D12"/>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572D12"/>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572D12"/>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572D12"/>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572D12"/>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572D1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72D1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72D1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72D12"/>
    <w:rPr>
      <w:rFonts w:eastAsiaTheme="majorEastAsia" w:cstheme="majorBidi"/>
      <w:color w:val="272727" w:themeColor="text1" w:themeTint="D8"/>
    </w:rPr>
  </w:style>
  <w:style w:type="paragraph" w:styleId="Naslov">
    <w:name w:val="Title"/>
    <w:basedOn w:val="Normal"/>
    <w:next w:val="Normal"/>
    <w:link w:val="NaslovChar"/>
    <w:uiPriority w:val="10"/>
    <w:qFormat/>
    <w:rsid w:val="00572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72D1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72D1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72D1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72D12"/>
    <w:pPr>
      <w:spacing w:before="160"/>
      <w:jc w:val="center"/>
    </w:pPr>
    <w:rPr>
      <w:i/>
      <w:iCs/>
      <w:color w:val="404040" w:themeColor="text1" w:themeTint="BF"/>
    </w:rPr>
  </w:style>
  <w:style w:type="character" w:customStyle="1" w:styleId="CitatChar">
    <w:name w:val="Citat Char"/>
    <w:basedOn w:val="Zadanifontodlomka"/>
    <w:link w:val="Citat"/>
    <w:uiPriority w:val="29"/>
    <w:rsid w:val="00572D12"/>
    <w:rPr>
      <w:i/>
      <w:iCs/>
      <w:color w:val="404040" w:themeColor="text1" w:themeTint="BF"/>
    </w:rPr>
  </w:style>
  <w:style w:type="paragraph" w:styleId="Odlomakpopisa">
    <w:name w:val="List Paragraph"/>
    <w:basedOn w:val="Normal"/>
    <w:uiPriority w:val="34"/>
    <w:qFormat/>
    <w:rsid w:val="00572D12"/>
    <w:pPr>
      <w:ind w:left="720"/>
      <w:contextualSpacing/>
    </w:pPr>
  </w:style>
  <w:style w:type="character" w:styleId="Jakoisticanje">
    <w:name w:val="Intense Emphasis"/>
    <w:basedOn w:val="Zadanifontodlomka"/>
    <w:uiPriority w:val="21"/>
    <w:qFormat/>
    <w:rsid w:val="00572D12"/>
    <w:rPr>
      <w:i/>
      <w:iCs/>
      <w:color w:val="2F5496" w:themeColor="accent1" w:themeShade="BF"/>
    </w:rPr>
  </w:style>
  <w:style w:type="paragraph" w:styleId="Naglaencitat">
    <w:name w:val="Intense Quote"/>
    <w:basedOn w:val="Normal"/>
    <w:next w:val="Normal"/>
    <w:link w:val="NaglaencitatChar"/>
    <w:uiPriority w:val="30"/>
    <w:qFormat/>
    <w:rsid w:val="00572D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572D12"/>
    <w:rPr>
      <w:i/>
      <w:iCs/>
      <w:color w:val="2F5496" w:themeColor="accent1" w:themeShade="BF"/>
    </w:rPr>
  </w:style>
  <w:style w:type="character" w:styleId="Istaknutareferenca">
    <w:name w:val="Intense Reference"/>
    <w:basedOn w:val="Zadanifontodlomka"/>
    <w:uiPriority w:val="32"/>
    <w:qFormat/>
    <w:rsid w:val="00572D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1586</Words>
  <Characters>9046</Characters>
  <Application>Microsoft Office Word</Application>
  <DocSecurity>0</DocSecurity>
  <Lines>75</Lines>
  <Paragraphs>21</Paragraphs>
  <ScaleCrop>false</ScaleCrop>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MOBES KVALITETA</dc:creator>
  <cp:keywords/>
  <dc:description/>
  <cp:lastModifiedBy>MOBES KVALITETA</cp:lastModifiedBy>
  <cp:revision>3</cp:revision>
  <dcterms:created xsi:type="dcterms:W3CDTF">2026-01-15T11:01:00Z</dcterms:created>
  <dcterms:modified xsi:type="dcterms:W3CDTF">2026-01-15T11:02:00Z</dcterms:modified>
</cp:coreProperties>
</file>